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40"/>
        <w:gridCol w:w="5220"/>
      </w:tblGrid>
      <w:tr>
        <w:tc>
          <w:tcPr>
            <w:tcW w:w="50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Job Title:</w:t>
            </w:r>
            <w:r>
              <w:rPr>
                <w:rFonts w:ascii="Arial" w:hAnsi="Arial" w:eastAsia="Arial" w:cs="Arial"/>
                <w:b/>
                <w:bCs/>
                <w:sz w:val="20"/>
                <w:szCs w:val="20"/>
                <w:lang w:val="en-GB" w:eastAsia="en-GB" w:bidi="en-GB"/>
              </w:rPr>
              <w:t xml:space="preserve">  Communications &amp; Network Engagement Specialist/Partner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p>
        </w:tc>
        <w:tc>
          <w:tcPr>
            <w:tcW w:w="52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Current Job Holder(s):  N/A</w:t>
            </w:r>
          </w:p>
        </w:tc>
      </w:tr>
      <w:tr>
        <w:tc>
          <w:tcPr>
            <w:tcW w:w="50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Department:</w:t>
            </w:r>
            <w:r>
              <w:rPr>
                <w:rFonts w:ascii="Arial" w:hAnsi="Arial" w:eastAsia="Arial" w:cs="Arial"/>
                <w:b/>
                <w:bCs/>
                <w:sz w:val="20"/>
                <w:szCs w:val="20"/>
                <w:lang w:val="en-GB" w:eastAsia="en-GB" w:bidi="en-GB"/>
              </w:rPr>
              <w:t xml:space="preserve"> Direct Sales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p>
        </w:tc>
        <w:tc>
          <w:tcPr>
            <w:tcW w:w="52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Date Created/Amended By:</w:t>
            </w:r>
            <w:r>
              <w:rPr>
                <w:rFonts w:ascii="Arial" w:hAnsi="Arial" w:eastAsia="Arial" w:cs="Arial"/>
                <w:b/>
                <w:bCs/>
                <w:sz w:val="20"/>
                <w:szCs w:val="20"/>
                <w:lang w:val="en-GB" w:eastAsia="en-GB" w:bidi="en-GB"/>
              </w:rPr>
              <w:t xml:space="preserve"> Feb26/AH</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260"/>
      </w:tblGrid>
      <w:tr>
        <w:trPr>
          <w:trHeight w:val="562"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DEPARTMENT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Direct Sales department is responsible for developing, motivating, training and supporting the UK/ROI network of direct sales agents and global Distributor network to support the delivery of sales and profit targets and overall business plan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260"/>
      </w:tblGrid>
      <w:tr>
        <w:trPr>
          <w:trHeight w:val="1011" w:hRule="atLeast"/>
        </w:trP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To act as a dedicated communications and engagement partner to our network of Direct Sales Agents, responsible for designing and delivering structured communications that drive clarity, adoption and performance across the UK&amp;ROI and global Distributor network.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role ensures that commercial priorities, operational initiatives and network standards are translated into clear, practical and motivating messaging that supports direct sales agent success and business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Working closely with Sales leadership, Marketing and Operations, the role will shape communication strategy, improve network performance and embed high standards through structured communication and engagement approaches.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260"/>
      </w:tblGrid>
      <w:t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RESOURCES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Management responsibility for</w:t>
            </w:r>
            <w:r>
              <w:rPr>
                <w:rFonts w:ascii="Arial" w:hAnsi="Arial" w:eastAsia="Arial" w:cs="Arial"/>
                <w:sz w:val="20"/>
                <w:szCs w:val="20"/>
                <w:lang w:val="en-GB" w:eastAsia="en-GB" w:bidi="en-GB"/>
              </w:rPr>
              <w:t xml:space="preserve">: 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Reports to:</w:t>
            </w:r>
            <w:r>
              <w:rPr>
                <w:rFonts w:ascii="Arial" w:hAnsi="Arial" w:eastAsia="Arial" w:cs="Arial"/>
                <w:sz w:val="20"/>
                <w:szCs w:val="20"/>
                <w:lang w:val="en-GB" w:eastAsia="en-GB" w:bidi="en-GB"/>
              </w:rPr>
              <w:t xml:space="preserve">  Senior Manager Sales Operations and Field Transformation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Budgetary/financial framework:</w:t>
            </w:r>
            <w:r>
              <w:rPr>
                <w:rFonts w:ascii="Arial" w:hAnsi="Arial" w:eastAsia="Arial" w:cs="Arial"/>
                <w:sz w:val="20"/>
                <w:szCs w:val="20"/>
                <w:lang w:val="en-GB" w:eastAsia="en-GB" w:bidi="en-GB"/>
              </w:rPr>
              <w:t xml:space="preserve"> 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260"/>
      </w:tblGrid>
      <w:t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Field Network Communications (Sales-Led)</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Lead the development and delivery of a structured field network and Distributor communications plan aligned to commercial priorities, performance initiatives and operational change.</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Design and implement a clear communication framework and channel strategy that improves clarity, consistency and message cut-through across the network.</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Act as a communications business partner to the Sales Leadership Team, contributing at the planning stage of initiatives to ensure effective adoption and behavioural impact.</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Develop clear, engaging and commercially focused communications that translate complex operational or policy information into practical, actionable messaging.</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Own and manage content within key field network communication platforms, ensuring information is accurate, up to date and easy to access.</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Lead communications for Sales-led projects impacting direct sales agents, ensuring experience, clarity and performance implications are fully considered.</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Provide communications support during direct sales agenct-facing issues or incidents, ensuring timely, measured and consistent messaging.</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Develop and maintain measurement frameworks to evaluate engagement, understanding and behavioural impact of network communications.</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field network event messaging from a Sales performance and standards perspective.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br w:type="textWrapping"/>
            </w:r>
            <w:r>
              <w:rPr>
                <w:rFonts w:ascii="Arial" w:hAnsi="Arial" w:eastAsia="Arial" w:cs="Arial"/>
                <w:b/>
                <w:bCs/>
                <w:sz w:val="20"/>
                <w:szCs w:val="20"/>
                <w:u w:val="single"/>
                <w:lang w:val="en-GB" w:eastAsia="en-GB" w:bidi="en-GB"/>
              </w:rPr>
              <w:t xml:space="preserve">Network Standards and Performance Alignment</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the embedding of field network policies, standards and operating procedures through clear and structured communication.</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Partner with Sales leadership to ensure standards are consistently understood and applied across the network.</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Monitor themes, feedback and trends relating to field network communications and standards, identifying opportunities to improve clarity or reduce risk.</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Contribute to the continuous improvement of network governance documentation, ensuring updates are clearly communicated and practically interpreted.</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Provide structured communications support in relation to network complaints, investigations or standards-related matters where required.</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Work collaboratively with Training to ensure standards and expectations are reinforced through aligned messaging and learning interventions.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Data Protection &amp; GDPR</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the communication and practical understanding of data protection principles within the direct sales agent network in line with the General Data Protection Regulation and Data Protection Act 2018.</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Ensure direct sales agent-facing communications relating to customer data handling are clear, accurate and aligned with company policies and best practice.</w:t>
            </w:r>
          </w:p>
          <w:p>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Work in partnership with the relevant internal teams to ensure data protection requirements are effectively communicated and understood within the Sales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Partnership &amp; Continuous Improvement</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Partner with Marketing to ensure messaging aligns to brand standards, tone and wider campaigns, while reflecting Sales priorities.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Champion continuous improvement in communication effectiveness, channel use and message clarity.</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Influence stakeholders across Sales and support functions to embed best practice and improve network engagement and performance.</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Balance commercial priorities with ethical, regulatory and brand considerations.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wider Sales Operations and Field Transformation initiatives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u w:val="single"/>
                <w:lang w:val="en-GB" w:eastAsia="en-GB" w:bidi="en-GB"/>
              </w:rPr>
            </w:pPr>
            <w:r>
              <w:rPr>
                <w:rFonts w:ascii="Arial" w:hAnsi="Arial" w:eastAsia="Arial" w:cs="Arial"/>
                <w:b/>
                <w:bCs/>
                <w:sz w:val="20"/>
                <w:szCs w:val="20"/>
                <w:u w:val="single"/>
                <w:lang w:val="en-GB" w:eastAsia="en-GB" w:bidi="en-GB"/>
              </w:rPr>
              <w:t xml:space="preserve">Other</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Undertake other duties and tasks that from time to time may be allocated to the jobholder that are appropriate to the grade of the job</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Comply with all relevant internal rules, policy and procedures, including those relating to Health and Safety, Data Protection etc, and all those contained within the issued Employee Stakeholder Handbook</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You are responsible for effectively implementing communicating and maintaining a food safety culture that supports the realisation of safe product as outlined within the FSSC22000/BRCG</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You must ensure all activities relating to food safety management system are adequately resourced and that all personnel carrying out activities that have an impact on food safety are adequately trained and competent</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You must also always ensure conformance to the company’s food safety policy champion good manufacturing practices and behaviour’s and ensure all designated food safety objectives are realised</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Promote and demonstrate the company’s core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260"/>
      </w:tblGrid>
      <w:tr>
        <w:tc>
          <w:tcPr>
            <w:tcW w:w="102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u w:val="single"/>
                <w:lang w:val="en-GB" w:eastAsia="en-GB" w:bidi="en-GB"/>
              </w:rPr>
              <w:t xml:space="preserve">MAIN JOB 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Education/Qualifications/Training: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Educated to degree level or equivalent sector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Specific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Essential</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Significant experience in communications, sales enablement or network engagement environment.</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working closely with field-based, multi-site or self-employed sales networks.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Proven experience developing structured communications that drive understanding, engagement and behavioural change.</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translating operational, policy or regulatory information into clear, practical messaging.</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influencing stakeholders within a matrix environment.</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understanding of data protection principles and responsible data practices in a commercial setting.</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Desirable</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within a Direct Sales, franchise or field network-led model.</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supporting business change and transformation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Abilities/Skills/Knowledge:</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Excellent written and verbal communication skills with the ability to influence behaviour and drive engagement.</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commercial awareness and understanding of sales performance dynamics.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balance clarity, motivation and governance within communications.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High attention to detail with strong focus on accuracy and consistency.</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Confident providing advice, challenge and guidance to stakeholders.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organisational and project management skills, able to manage multiple priorities independently.</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Calm and resilient under pressure, particularly during incidents or network-wide change.</w:t>
            </w:r>
          </w:p>
          <w:p>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ind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Proactive, solutions-focused and comfortable working in ambiguity.</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sectPr>
      <w:footerReference w:type="default" r:id="rId00007"/>
      <w:headerReference w:type="first" r:id="rId00008"/>
      <w:footerReference w:type="first" r:id="rId00009"/>
      <w:pgSz w:w="11907" w:h="16840"/>
      <w:pgMar w:top="1418" w:right="1797" w:bottom="1151" w:left="1797" w:header="720" w:footer="720"/>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Zurich BT">
    <w:charset w:val="00"/>
    <w:family w:val="auto"/>
    <w:pitch w:val="variable"/>
  </w:font>
  <w:font w:name="Calibri Light">
    <w:panose1 w:val="020F0302020204030204"/>
    <w:charset w:val="00"/>
    <w:family w:val="swiss"/>
    <w:pitch w:val="variable"/>
    <w:sig w:usb0="E0002AFF" w:usb1="C000247B" w:usb2="00000009" w:usb3="00000000" w:csb0="200001FF" w:csb1="00000000"/>
  </w:font>
  <w:font w:name="Typographic Ext">
    <w:charset w:val="00"/>
    <w:family w:val="auto"/>
    <w:pitch w:val="default"/>
  </w:font>
  <w:font w:name="Zurich Blk BT">
    <w:charset w:val="00"/>
    <w:family w:val="swiss"/>
    <w:pitch w:val="variable"/>
  </w:font>
  <w:font w:name="Tahoma">
    <w:panose1 w:val="020B0604030504040204"/>
    <w:charset w:val="00"/>
    <w:family w:val="swiss"/>
    <w:pitch w:val="variable"/>
    <w:sig w:usb0="E1002EFF" w:usb1="C000605B" w:usb2="00000029" w:usb3="00000000" w:csb0="200101FF" w:csb1="20280000"/>
  </w:font>
  <w:font w:name="Galliard BT">
    <w:charset w:val="00"/>
    <w:family w:val="roman"/>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right" w:pos="8313"/>
        <w:tab w:val="clear" w:pos="8640"/>
      </w:tabs>
      <w:jc w:val="right"/>
      <w:rPr>
        <w:rStyle w:val="PageNumber"/>
        <w:rFonts w:ascii="Arial" w:hAnsi="Arial" w:eastAsia="Arial" w:cs="Arial"/>
        <w:lang w:val="en-GB" w:eastAsia="en-GB" w:bidi="en-GB"/>
      </w:rPr>
    </w:pPr>
    <w:r>
      <w:rPr>
        <w:rStyle w:val="PageNumber"/>
        <w:rFonts w:ascii="Arial" w:hAnsi="Arial" w:eastAsia="Arial" w:cs="Arial"/>
        <w:noProof/>
        <w:lang w:val="en-GB" w:eastAsia="en-GB" w:bidi="en-GB"/>
      </w:rPr>
      <w:fldChar w:fldCharType="begin"/>
    </w:r>
    <w:r>
      <w:rPr>
        <w:rStyle w:val="PageNumber"/>
        <w:rFonts w:ascii="Arial" w:hAnsi="Arial" w:eastAsia="Arial" w:cs="Arial"/>
        <w:noProof/>
        <w:lang w:val="en-GB" w:eastAsia="en-GB" w:bidi="en-GB"/>
      </w:rPr>
      <w:instrText xml:space="preserve"> PAGE \* Arabic \* MERGEFORMAT </w:instrText>
    </w:r>
    <w:r>
      <w:rPr>
        <w:rStyle w:val="PageNumber"/>
        <w:rFonts w:ascii="Arial" w:hAnsi="Arial" w:eastAsia="Arial" w:cs="Arial"/>
        <w:noProof/>
        <w:lang w:val="en-GB" w:eastAsia="en-GB" w:bidi="en-GB"/>
      </w:rPr>
      <w:fldChar w:fldCharType="separate"/>
    </w:r>
    <w:r>
      <w:rPr>
        <w:rStyle w:val="PageNumber"/>
        <w:rFonts w:ascii="Arial" w:hAnsi="Arial" w:eastAsia="Arial" w:cs="Arial"/>
        <w:lang w:val="en-GB" w:eastAsia="en-GB" w:bidi="en-GB"/>
      </w:rPr>
      <w:fldChar w:fldCharType="end"/>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8313"/>
        <w:tab w:val="clear" w:pos="8640"/>
      </w:tabs>
      <w:rPr>
        <w:rFonts w:ascii="Arial" w:hAnsi="Arial" w:eastAsia="Arial" w:cs="Arial"/>
        <w:b/>
        <w:bCs/>
        <w:sz w:val="32"/>
        <w:szCs w:val="32"/>
        <w:lang w:val="en-GB" w:eastAsia="en-GB" w:bidi="en-GB"/>
      </w:rPr>
    </w:pPr>
    <w:r>
      <w:drawing>
        <wp:anchor distT="0" distB="0" distL="114300" distR="114300" simplePos="0" relativeHeight="251659264" behindDoc="1" locked="0" layoutInCell="1" hidden="0" allowOverlap="1">
          <wp:simplePos x="0" y="0"/>
          <wp:positionH relativeFrom="column">
            <wp:posOffset>4038600</wp:posOffset>
          </wp:positionH>
          <wp:positionV relativeFrom="paragraph">
            <wp:posOffset>0</wp:posOffset>
          </wp:positionV>
          <wp:extent cx="2171065" cy="725170"/>
          <wp:wrapNone/>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71065" cy="725170"/>
                  </a:xfrm>
                  <a:prstGeom prst="rect">
                    <a:avLst/>
                  </a:prstGeom>
                </pic:spPr>
              </pic:pic>
            </a:graphicData>
          </a:graphic>
        </wp:anchor>
      </w:drawing>
    </w:r>
    <w:r>
      <w:rPr>
        <w:rFonts w:ascii="Arial" w:hAnsi="Arial" w:eastAsia="Arial" w:cs="Arial"/>
        <w:b/>
        <w:bCs/>
        <w:sz w:val="40"/>
        <w:szCs w:val="40"/>
        <w:lang w:val="en-GB" w:eastAsia="en-GB" w:bidi="en-GB"/>
      </w:rPr>
      <w:t xml:space="preserve">JOB DESCRIPTION     	</w:t>
    </w:r>
    <w:r>
      <w:rPr>
        <w:rFonts w:ascii="Arial" w:hAnsi="Arial" w:eastAsia="Arial" w:cs="Arial"/>
        <w:b/>
        <w:bCs/>
        <w:sz w:val="32"/>
        <w:szCs w:val="32"/>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pStyle w:val="Continuous Dash 1"/>
      <w:suff w:val="tab"/>
      <w:lvlText w:val=","/>
      <w:pPr>
        <w:ind w:left="720" w:hanging="360"/>
        <w:tabs>
          <w:tab w:val="num" w:pos="72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1">
    <w:multiLevelType w:val="singleLevel"/>
    <w:lvl w:ilvl="0">
      <w:start w:val="1"/>
      <w:numFmt w:val="bullet"/>
      <w:pStyle w:val="Continuous Dash 2"/>
      <w:suff w:val="tab"/>
      <w:lvlText w:val="+"/>
      <w:pPr>
        <w:ind w:left="1080" w:hanging="360"/>
        <w:tabs>
          <w:tab w:val="num" w:pos="108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2">
    <w:multiLevelType w:val="singleLevel"/>
    <w:lvl w:ilvl="0">
      <w:start w:val="1"/>
      <w:numFmt w:val="bullet"/>
      <w:pStyle w:val="Continuous Square Bullet"/>
      <w:suff w:val="tab"/>
      <w:lvlText w:val="9"/>
      <w:pPr>
        <w:ind w:left="360" w:hanging="360"/>
        <w:tabs>
          <w:tab w:val="num" w:pos="36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3">
    <w:multiLevelType w:val="singleLevel"/>
    <w:lvl w:ilvl="0">
      <w:start w:val="1"/>
      <w:numFmt w:val="bullet"/>
      <w:pStyle w:val="Single Bullet"/>
      <w:suff w:val="tab"/>
      <w:lvlText w:val="9"/>
      <w:pPr>
        <w:ind w:left="360" w:hanging="360"/>
        <w:tabs>
          <w:tab w:val="num" w:pos="36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4">
    <w:multiLevelType w:val="singleLevel"/>
    <w:lvl w:ilvl="0">
      <w:start w:val="1"/>
      <w:numFmt w:val="bullet"/>
      <w:pStyle w:val="Single Dash 1"/>
      <w:suff w:val="tab"/>
      <w:lvlText w:val=","/>
      <w:pPr>
        <w:ind w:left="720" w:hanging="360"/>
        <w:tabs>
          <w:tab w:val="num" w:pos="72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5">
    <w:multiLevelType w:val="singleLevel"/>
    <w:lvl w:ilvl="0">
      <w:start w:val="1"/>
      <w:numFmt w:val="bullet"/>
      <w:pStyle w:val="Single Dash 2"/>
      <w:suff w:val="tab"/>
      <w:lvlText w:val="+"/>
      <w:pPr>
        <w:ind w:left="1080" w:hanging="360"/>
        <w:tabs>
          <w:tab w:val="num" w:pos="1080"/>
        </w:tabs>
      </w:pPr>
      <w:rPr>
        <w:rFonts w:hint="default" w:ascii="Typographic Ext" w:hAnsi="Typographic Ext" w:eastAsia="Typographic Ext" w:cs="Typographic Ext"/>
        <w:b w:val="off"/>
        <w:i w:val="off"/>
        <w:strike w:val="off"/>
        <w:color w:val="auto"/>
        <w:position w:val="0"/>
        <w:sz w:val="22"/>
        <w:u w:val="none"/>
        <w:shd w:val="clear" w:color="auto" w:fill="auto"/>
      </w:rPr>
    </w:lvl>
  </w:abstractNum>
  <w:abstractNum w:abstractNumId="6">
    <w:multiLevelType w:val="multilevel"/>
    <w:lvl w:ilvl="0">
      <w:start w:val="1"/>
      <w:numFmt w:val="bullet"/>
      <w:suff w:val="tab"/>
      <w:lvlText w:val=""/>
      <w:pPr>
        <w:ind w:left="360" w:hanging="360"/>
        <w:tabs>
          <w:tab w:val="num" w:pos="360"/>
        </w:tabs>
      </w:pPr>
    </w:lvl>
    <w:lvl w:ilvl="1">
      <w:start w:val="1"/>
      <w:numFmt w:val="bullet"/>
      <w:pStyle w:val="Bulleted List"/>
      <w:suff w:val="tab"/>
      <w:lvlText w:val=""/>
      <w:pPr>
        <w:ind w:left="1307" w:hanging="227"/>
        <w:tabs>
          <w:tab w:val="num" w:pos="1307"/>
        </w:tabs>
      </w:pPr>
      <w:rPr>
        <w:rFonts w:hint="default" w:ascii="Symbol" w:hAnsi="Symbol" w:eastAsia="Symbol" w:cs="Symbol"/>
        <w:b w:val="off"/>
        <w:i w:val="off"/>
        <w:strike w:val="off"/>
        <w:color w:val="auto"/>
        <w:position w:val="0"/>
        <w:sz w:val="16"/>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7">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Zurich BT" w:hAnsi="Zurich BT" w:eastAsia="Zurich BT" w:cs="Zurich BT"/>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character" w:styleId="PageNumber">
    <w:name w:val="page number"/>
    <w:qFormat/>
    <w:rPr>
      <w:rtl w:val="off"/>
    </w:rPr>
  </w:style>
  <w:style w:type="paragraph" w:styleId="Footer">
    <w:name w:val="footer"/>
    <w:basedOn w:val="Normal"/>
    <w:next w:val="Footer"/>
    <w:qFormat/>
    <w:pPr>
      <w:tabs>
        <w:tab w:val="center" w:pos="4320"/>
        <w:tab w:val="right" w:pos="8640"/>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2">
    <w:name w:val="heading 2"/>
    <w:basedOn w:val="Normal"/>
    <w:next w:val="Normal"/>
    <w:qFormat/>
    <w:pPr>
      <w:keepNext/>
      <w:keepLines/>
      <w:spacing w:before="40"/>
      <w:outlineLvl w:val="1"/>
    </w:pPr>
    <w:rPr>
      <w:rFonts w:ascii="Calibri Light" w:hAnsi="Calibri Light" w:eastAsia="Calibri Light" w:cs="Calibri Light"/>
      <w:color w:val="2E75B5"/>
      <w:sz w:val="26"/>
      <w:szCs w:val="26"/>
      <w:lang w:val="en-GB" w:eastAsia="en-GB" w:bidi="en-GB"/>
    </w:rPr>
  </w:style>
  <w:style w:type="paragraph" w:styleId="Heading3">
    <w:name w:val="heading 3"/>
    <w:basedOn w:val="Normal"/>
    <w:next w:val="Heading3"/>
    <w:qFormat/>
    <w:pPr>
      <w:spacing w:before="100" w:after="100"/>
      <w:outlineLvl w:val="2"/>
    </w:pPr>
    <w:rPr>
      <w:rFonts w:ascii="Times New Roman" w:hAnsi="Times New Roman" w:eastAsia="Times New Roman" w:cs="Times New Roman"/>
      <w:b/>
      <w:bCs/>
      <w:sz w:val="27"/>
      <w:szCs w:val="27"/>
      <w:lang w:val="en-GB" w:eastAsia="en-GB" w:bidi="en-GB"/>
    </w:rPr>
  </w:style>
  <w:style w:type="paragraph" w:styleId="Continuous Dash 1" w:customStyle="1">
    <w:name w:val="Continuous Dash 1"/>
    <w:basedOn w:val="Normal"/>
    <w:next w:val="Continuous Dash 1"/>
    <w:qFormat/>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ind w:left="720" w:hanging="360"/>
    </w:pPr>
    <w:rPr>
      <w:lang w:val="en-GB" w:eastAsia="en-GB" w:bidi="en-GB"/>
    </w:rPr>
  </w:style>
  <w:style w:type="paragraph" w:styleId="Continuous Dash 2" w:customStyle="1">
    <w:name w:val="Continuous Dash 2"/>
    <w:basedOn w:val="Normal"/>
    <w:next w:val="Continuous Dash 2"/>
    <w:qFormat/>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ind w:left="1080" w:hanging="360"/>
    </w:pPr>
    <w:rPr>
      <w:lang w:val="en-GB" w:eastAsia="en-GB" w:bidi="en-GB"/>
    </w:rPr>
  </w:style>
  <w:style w:type="paragraph" w:styleId="Continuous Square Bullet" w:customStyle="1">
    <w:name w:val="Continuous Square Bullet"/>
    <w:basedOn w:val="Normal"/>
    <w:next w:val="Continuous Square Bullet"/>
    <w:qFormat/>
    <w:pPr>
      <w:numPr>
        <w:ilvl w:val="0"/>
        <w:numId w:val="3"/>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ind w:left="360" w:hanging="360"/>
    </w:pPr>
    <w:rPr>
      <w:lang w:val="en-GB" w:eastAsia="en-GB" w:bidi="en-GB"/>
    </w:rPr>
  </w:style>
  <w:style w:type="paragraph" w:styleId="Single Bullet" w:customStyle="1">
    <w:name w:val="Single Bullet"/>
    <w:basedOn w:val="Normal"/>
    <w:next w:val="Normal"/>
    <w:qFormat/>
    <w:pPr>
      <w:numPr>
        <w:ilvl w:val="0"/>
        <w:numId w:val="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ind w:left="360" w:hanging="360"/>
    </w:pPr>
    <w:rPr>
      <w:lang w:val="en-GB" w:eastAsia="en-GB" w:bidi="en-GB"/>
    </w:rPr>
  </w:style>
  <w:style w:type="paragraph" w:styleId="Single Dash 1" w:customStyle="1">
    <w:name w:val="Single Dash 1"/>
    <w:basedOn w:val="Normal"/>
    <w:next w:val="Normal"/>
    <w:qFormat/>
    <w:pPr>
      <w:numPr>
        <w:ilvl w:val="0"/>
        <w:numId w:val="5"/>
      </w:numPr>
      <w:tabs>
        <w:tab w:val="left" w:pos="720"/>
        <w:tab w:val="left" w:pos="1080"/>
      </w:tabs>
      <w:spacing w:line="280" w:lineRule="exact"/>
      <w:ind w:left="720" w:hanging="360"/>
    </w:pPr>
    <w:rPr>
      <w:lang w:val="en-GB" w:eastAsia="en-GB" w:bidi="en-GB"/>
    </w:rPr>
  </w:style>
  <w:style w:type="paragraph" w:styleId="Single Dash 2" w:customStyle="1">
    <w:name w:val="Single Dash 2"/>
    <w:basedOn w:val="Normal"/>
    <w:next w:val="Normal"/>
    <w:qFormat/>
    <w:pPr>
      <w:numPr>
        <w:ilvl w:val="0"/>
        <w:numId w:val="6"/>
      </w:numPr>
      <w:tabs>
        <w:tab w:val="left" w:pos="1080"/>
      </w:tabs>
      <w:spacing w:line="280" w:lineRule="atLeast"/>
      <w:ind w:left="1080" w:hanging="360"/>
    </w:pPr>
    <w:rPr>
      <w:lang w:val="en-GB" w:eastAsia="en-GB" w:bidi="en-GB"/>
    </w:rPr>
  </w:style>
  <w:style w:type="paragraph" w:styleId="Sub Head 2" w:customStyle="1">
    <w:name w:val="Sub Head 2"/>
    <w:basedOn w:val="Normal"/>
    <w:next w:val="Normal"/>
    <w:qFormat/>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eastAsia="Zurich Blk BT" w:cs="Zurich Blk BT"/>
      <w:sz w:val="24"/>
      <w:szCs w:val="24"/>
      <w:lang w:val="en-GB" w:eastAsia="en-GB" w:bidi="en-GB"/>
    </w:rPr>
  </w:style>
  <w:style w:type="paragraph" w:styleId="Sub Head 3" w:customStyle="1">
    <w:name w:val="Sub Head 3"/>
    <w:basedOn w:val="Normal"/>
    <w:next w:val="Normal"/>
    <w:qFormat/>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lang w:val="en-GB" w:eastAsia="en-GB" w:bidi="en-GB"/>
    </w:rPr>
  </w:style>
  <w:style w:type="paragraph" w:styleId="DocumentMap">
    <w:name w:val="Document Map"/>
    <w:basedOn w:val="Normal"/>
    <w:next w:val="DocumentMap"/>
    <w:qFormat/>
    <w:pPr>
      <w:shd w:val="clear" w:color="auto" w:fill="000080"/>
    </w:pPr>
    <w:rPr>
      <w:rFonts w:ascii="Tahoma" w:hAnsi="Tahoma" w:eastAsia="Tahoma" w:cs="Tahoma"/>
      <w:sz w:val="20"/>
      <w:szCs w:val="20"/>
      <w:lang w:val="en-GB" w:eastAsia="en-GB" w:bidi="en-GB"/>
    </w:rPr>
  </w:style>
  <w:style w:type="paragraph" w:styleId="Bulleted List" w:customStyle="1">
    <w:name w:val="Bulleted List"/>
    <w:basedOn w:val="Normal"/>
    <w:next w:val="Bulleted List"/>
    <w:qFormat/>
    <w:pPr>
      <w:numPr>
        <w:ilvl w:val="1"/>
        <w:numId w:val="7"/>
      </w:numPr>
      <w:tabs>
        <w:tab w:val="left" w:pos="1307"/>
      </w:tabs>
      <w:ind w:left="1307" w:hanging="227"/>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b" w:customStyle="1">
    <w:name w:val="b"/>
    <w:basedOn w:val="Normal"/>
    <w:next w:val="b"/>
    <w:qFormat/>
    <w:pPr>
      <w:tabs>
        <w:tab w:val="left" w:pos="360"/>
        <w:tab w:val="left" w:pos="7678"/>
        <w:tab w:val="left" w:pos="8103"/>
      </w:tabs>
      <w:ind w:left="360" w:right="522" w:hanging="360"/>
      <w:jc w:val="both"/>
    </w:pPr>
    <w:rPr>
      <w:rFonts w:ascii="Arial" w:hAnsi="Arial" w:eastAsia="Arial" w:cs="Arial"/>
      <w:sz w:val="16"/>
      <w:szCs w:val="16"/>
      <w:lang w:val="en-GB" w:eastAsia="en-GB" w:bidi="en-GB"/>
    </w:rPr>
  </w:style>
  <w:style w:type="character" w:styleId="Heading 2 Char" w:customStyle="1">
    <w:name w:val="Heading 2 Char"/>
    <w:qFormat/>
    <w:rPr>
      <w:rFonts w:ascii="Calibri Light" w:hAnsi="Calibri Light" w:eastAsia="Calibri Light" w:cs="Calibri Light"/>
      <w:color w:val="2E75B5"/>
      <w:sz w:val="26"/>
      <w:szCs w:val="26"/>
      <w:rtl w:val="off"/>
    </w:rPr>
  </w:style>
  <w:style w:type="character" w:styleId="Heading 3 Char" w:customStyle="1">
    <w:name w:val="Heading 3 Char"/>
    <w:qFormat/>
    <w:rPr>
      <w:b/>
      <w:bCs/>
      <w:sz w:val="27"/>
      <w:szCs w:val="27"/>
      <w:rtl w:val="off"/>
    </w:rPr>
  </w:style>
  <w:style w:type="character" w:styleId="Strong">
    <w:name w:val="Strong"/>
    <w:qFormat/>
    <w:rPr>
      <w:b/>
      <w:bCs/>
      <w:rtl w:val="off"/>
    </w:rPr>
  </w:style>
  <w:style w:type="paragraph" w:styleId="NormalWeb">
    <w:name w:val="Normal (Web)"/>
    <w:basedOn w:val="Normal"/>
    <w:next w:val="NormalWeb"/>
    <w:qFormat/>
    <w:pPr>
      <w:spacing w:before="100" w:after="100"/>
    </w:pPr>
    <w:rPr>
      <w:rFonts w:ascii="Times New Roman" w:hAnsi="Times New Roman" w:eastAsia="Times New Roman" w:cs="Times New Roman"/>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Zurich BT" w:hAnsi="Zurich BT" w:eastAsia="Zurich BT" w:cs="Zurich BT"/>
      <w:sz w:val="22"/>
      <w:szCs w:val="22"/>
      <w:lang w:val="en-GB" w:eastAsia="en-GB" w:bidi="en-GB"/>
    </w:rPr>
  </w:style>
  <w:style w:type="paragraph" w:styleId="Mem/Let Sub 1" w:customStyle="1">
    <w:name w:val="Mem/Let Sub 1"/>
    <w:basedOn w:val="[Normal]"/>
    <w:next w:val="Normal"/>
    <w:qFormat/>
    <w:pPr>
      <w:widowControl w:val="on"/>
      <w:tabs>
        <w:tab w:val="left" w:pos="360"/>
        <w:tab w:val="left" w:pos="720"/>
        <w:tab w:val="left" w:pos="1080"/>
        <w:tab w:val="clear" w:pos="1134"/>
        <w:tab w:val="left" w:pos="1800"/>
        <w:tab w:val="clear" w:pos="2268"/>
        <w:tab w:val="left" w:pos="2520"/>
        <w:tab w:val="left" w:pos="3240"/>
        <w:tab w:val="clear" w:pos="3402"/>
        <w:tab w:val="left" w:pos="3960"/>
        <w:tab w:val="clear" w:pos="4536"/>
        <w:tab w:val="left" w:pos="4680"/>
        <w:tab w:val="left" w:pos="5400"/>
        <w:tab w:val="clear" w:pos="5670"/>
        <w:tab w:val="left" w:pos="6120"/>
        <w:tab w:val="clear" w:pos="6804"/>
        <w:tab w:val="left" w:pos="6840"/>
        <w:tab w:val="left" w:pos="7560"/>
        <w:tab w:val="clear" w:pos="7938"/>
        <w:tab w:val="left" w:pos="8280"/>
        <w:tab w:val="clear" w:pos="9072"/>
        <w:tab w:val="clear" w:pos="10206"/>
        <w:tab w:val="clear" w:pos="11340"/>
        <w:tab w:val="clear" w:pos="12474"/>
        <w:tab w:val="clear" w:pos="13608"/>
        <w:tab w:val="clear" w:pos="14742"/>
        <w:tab w:val="clear" w:pos="15876"/>
      </w:tabs>
      <w:spacing w:after="280" w:line="280" w:lineRule="exact"/>
    </w:pPr>
    <w:rPr>
      <w:rFonts w:ascii="Zurich BT" w:hAnsi="Zurich BT" w:eastAsia="Zurich BT" w:cs="Zurich BT"/>
      <w:b/>
      <w:bCs/>
      <w:caps/>
      <w:sz w:val="22"/>
      <w:szCs w:val="22"/>
      <w:lang w:val="en-GB" w:eastAsia="en-GB" w:bidi="en-GB"/>
    </w:rPr>
  </w:style>
  <w:style w:type="paragraph" w:styleId="Mem/Let Sub 2" w:customStyle="1">
    <w:name w:val="Mem/Let Sub 2"/>
    <w:basedOn w:val="[Normal]"/>
    <w:next w:val="Normal"/>
    <w:qFormat/>
    <w:pPr>
      <w:widowControl w:val="on"/>
      <w:tabs>
        <w:tab w:val="left" w:pos="360"/>
        <w:tab w:val="left" w:pos="720"/>
        <w:tab w:val="left" w:pos="1080"/>
        <w:tab w:val="clear" w:pos="1134"/>
        <w:tab w:val="left" w:pos="1800"/>
        <w:tab w:val="clear" w:pos="2268"/>
        <w:tab w:val="left" w:pos="2520"/>
        <w:tab w:val="left" w:pos="3240"/>
        <w:tab w:val="clear" w:pos="3402"/>
        <w:tab w:val="left" w:pos="3960"/>
        <w:tab w:val="clear" w:pos="4536"/>
        <w:tab w:val="left" w:pos="4680"/>
        <w:tab w:val="left" w:pos="5400"/>
        <w:tab w:val="clear" w:pos="5670"/>
        <w:tab w:val="left" w:pos="6120"/>
        <w:tab w:val="clear" w:pos="6804"/>
        <w:tab w:val="left" w:pos="6840"/>
        <w:tab w:val="left" w:pos="7560"/>
        <w:tab w:val="clear" w:pos="7938"/>
        <w:tab w:val="left" w:pos="8280"/>
        <w:tab w:val="clear" w:pos="9072"/>
        <w:tab w:val="clear" w:pos="10206"/>
        <w:tab w:val="clear" w:pos="11340"/>
        <w:tab w:val="clear" w:pos="12474"/>
        <w:tab w:val="clear" w:pos="13608"/>
        <w:tab w:val="clear" w:pos="14742"/>
        <w:tab w:val="clear" w:pos="15876"/>
      </w:tabs>
      <w:spacing w:after="280" w:line="280" w:lineRule="exact"/>
    </w:pPr>
    <w:rPr>
      <w:rFonts w:ascii="Zurich BT" w:hAnsi="Zurich BT" w:eastAsia="Zurich BT" w:cs="Zurich BT"/>
      <w:b/>
      <w:bCs/>
      <w:sz w:val="22"/>
      <w:szCs w:val="22"/>
      <w:lang w:val="en-GB" w:eastAsia="en-GB" w:bidi="en-GB"/>
    </w:rPr>
  </w:style>
  <w:style w:type="paragraph" w:styleId="Mem/Let Sub 3" w:customStyle="1">
    <w:name w:val="Mem/Let Sub 3"/>
    <w:basedOn w:val="[Normal]"/>
    <w:next w:val="Normal"/>
    <w:qFormat/>
    <w:pPr>
      <w:widowControl w:val="on"/>
      <w:tabs>
        <w:tab w:val="left" w:pos="360"/>
        <w:tab w:val="left" w:pos="720"/>
        <w:tab w:val="left" w:pos="1080"/>
        <w:tab w:val="clear" w:pos="1134"/>
        <w:tab w:val="left" w:pos="1800"/>
        <w:tab w:val="clear" w:pos="2268"/>
        <w:tab w:val="left" w:pos="2520"/>
        <w:tab w:val="left" w:pos="3240"/>
        <w:tab w:val="clear" w:pos="3402"/>
        <w:tab w:val="left" w:pos="3960"/>
        <w:tab w:val="clear" w:pos="4536"/>
        <w:tab w:val="left" w:pos="4680"/>
        <w:tab w:val="left" w:pos="5400"/>
        <w:tab w:val="clear" w:pos="5670"/>
        <w:tab w:val="left" w:pos="6120"/>
        <w:tab w:val="clear" w:pos="6804"/>
        <w:tab w:val="left" w:pos="6840"/>
        <w:tab w:val="left" w:pos="7560"/>
        <w:tab w:val="clear" w:pos="7938"/>
        <w:tab w:val="left" w:pos="8280"/>
        <w:tab w:val="clear" w:pos="9072"/>
        <w:tab w:val="clear" w:pos="10206"/>
        <w:tab w:val="clear" w:pos="11340"/>
        <w:tab w:val="clear" w:pos="12474"/>
        <w:tab w:val="clear" w:pos="13608"/>
        <w:tab w:val="clear" w:pos="14742"/>
        <w:tab w:val="clear" w:pos="15876"/>
      </w:tabs>
    </w:pPr>
    <w:rPr>
      <w:rFonts w:ascii="Zurich BT" w:hAnsi="Zurich BT" w:eastAsia="Zurich BT" w:cs="Zurich BT"/>
      <w:caps/>
      <w:lang w:val="en-GB" w:eastAsia="en-GB" w:bidi="en-GB"/>
    </w:rPr>
  </w:style>
  <w:style w:type="character" w:styleId="Mem/Let Sub 4" w:customStyle="1">
    <w:name w:val="Mem/Let Sub 4"/>
    <w:qFormat/>
    <w:rPr>
      <w:rFonts w:ascii="Zurich BT" w:hAnsi="Zurich BT" w:eastAsia="Zurich BT" w:cs="Zurich BT"/>
      <w:i/>
      <w:iCs/>
      <w:sz w:val="20"/>
      <w:szCs w:val="20"/>
      <w:rtl w:val="off"/>
      <w:lang w:val="en-GB" w:eastAsia="en-GB" w:bidi="en-GB"/>
    </w:rPr>
  </w:style>
  <w:style w:type="paragraph" w:styleId="Sub Head 1" w:customStyle="1">
    <w:name w:val="Sub Head 1"/>
    <w:basedOn w:val="[Normal]"/>
    <w:next w:val="Normal"/>
    <w:qFormat/>
    <w:pPr>
      <w:widowControl w:val="on"/>
      <w:tabs>
        <w:tab w:val="clear" w:pos="1134"/>
        <w:tab w:val="clear" w:pos="2268"/>
        <w:tab w:val="left" w:pos="2664"/>
        <w:tab w:val="left" w:pos="3024"/>
        <w:tab w:val="left" w:pos="3384"/>
        <w:tab w:val="clear" w:pos="3402"/>
        <w:tab w:val="left" w:pos="4104"/>
        <w:tab w:val="clear" w:pos="4536"/>
        <w:tab w:val="left" w:pos="4824"/>
        <w:tab w:val="left" w:pos="5544"/>
        <w:tab w:val="clear" w:pos="5670"/>
        <w:tab w:val="left" w:pos="6264"/>
        <w:tab w:val="clear" w:pos="6804"/>
        <w:tab w:val="left" w:pos="6984"/>
        <w:tab w:val="left" w:pos="7704"/>
        <w:tab w:val="clear" w:pos="7938"/>
        <w:tab w:val="left" w:pos="8424"/>
        <w:tab w:val="clear" w:pos="9072"/>
        <w:tab w:val="clear" w:pos="10206"/>
        <w:tab w:val="clear" w:pos="11340"/>
        <w:tab w:val="clear" w:pos="12474"/>
        <w:tab w:val="clear" w:pos="13608"/>
        <w:tab w:val="clear" w:pos="14742"/>
        <w:tab w:val="clear" w:pos="15876"/>
      </w:tabs>
      <w:spacing w:after="200"/>
    </w:pPr>
    <w:rPr>
      <w:rFonts w:ascii="Zurich Blk BT" w:hAnsi="Zurich Blk BT" w:eastAsia="Zurich Blk BT" w:cs="Zurich Blk BT"/>
      <w:caps/>
      <w:sz w:val="28"/>
      <w:szCs w:val="28"/>
      <w:lang w:val="en-GB" w:eastAsia="en-GB" w:bidi="en-GB"/>
    </w:rPr>
  </w:style>
  <w:style w:type="character" w:styleId="Sub Head 4" w:customStyle="1">
    <w:name w:val="Sub Head 4"/>
    <w:qFormat/>
    <w:rPr>
      <w:rFonts w:ascii="Galliard BT" w:hAnsi="Galliard BT" w:eastAsia="Galliard BT" w:cs="Galliard BT"/>
      <w:b/>
      <w:bCs/>
      <w:i/>
      <w:iCs/>
      <w:sz w:val="23"/>
      <w:szCs w:val="23"/>
      <w:rtl w:val="off"/>
    </w:rPr>
  </w:style>
  <w:style w:type="paragraph" w:styleId="FooterFileStamp" w:customStyle="1">
    <w:name w:val="FooterFileStamp"/>
    <w:basedOn w:val="[Normal]"/>
    <w:next w:val="FooterFileStamp"/>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Zurich BT" w:hAnsi="Zurich BT" w:eastAsia="Zurich BT" w:cs="Zurich BT"/>
      <w:sz w:val="12"/>
      <w:szCs w:val="1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8" Type="http://schemas.openxmlformats.org/officeDocument/2006/relationships/header" Target="header0001_first.xml"/>
	<Relationship Id="rId00009" Type="http://schemas.openxmlformats.org/officeDocument/2006/relationships/footer" Target="footer0001_first.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creator>Sue Malone</dc:creator>
  <dcterms:created xsi:type="dcterms:W3CDTF">2026-02-19T11:26:00Z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0x01010005FEF9CD49C30D4CBC4EF19834DFC6B3</vt:lpwstr>
  </property>
</Properties>
</file>